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C73" w:rsidRDefault="003917CA">
      <w:pPr>
        <w:pStyle w:val="normal0"/>
        <w:spacing w:line="256" w:lineRule="auto"/>
        <w:ind w:right="-20"/>
        <w:jc w:val="center"/>
      </w:pPr>
      <w:r>
        <w:rPr>
          <w:noProof/>
        </w:rPr>
        <w:drawing>
          <wp:inline distT="114300" distB="114300" distL="114300" distR="114300">
            <wp:extent cx="3695700" cy="6858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C73" w:rsidRDefault="003917CA">
      <w:pPr>
        <w:pStyle w:val="normal0"/>
        <w:spacing w:line="256" w:lineRule="auto"/>
        <w:ind w:left="20" w:right="-20"/>
        <w:jc w:val="center"/>
      </w:pPr>
      <w:r>
        <w:rPr>
          <w:b/>
          <w:i/>
          <w:sz w:val="28"/>
          <w:szCs w:val="28"/>
        </w:rPr>
        <w:t>Core French 7-9</w:t>
      </w:r>
    </w:p>
    <w:p w:rsidR="00FC6C73" w:rsidRDefault="003917CA">
      <w:pPr>
        <w:pStyle w:val="normal0"/>
        <w:spacing w:line="256" w:lineRule="auto"/>
        <w:ind w:left="20" w:right="-20"/>
        <w:jc w:val="center"/>
      </w:pPr>
      <w:r>
        <w:rPr>
          <w:b/>
          <w:i/>
          <w:sz w:val="28"/>
          <w:szCs w:val="28"/>
        </w:rPr>
        <w:t>Revised September 2016</w:t>
      </w:r>
    </w:p>
    <w:p w:rsidR="00FC6C73" w:rsidRDefault="003917CA">
      <w:pPr>
        <w:pStyle w:val="normal0"/>
        <w:spacing w:after="220" w:line="256" w:lineRule="auto"/>
      </w:pPr>
      <w:r>
        <w:rPr>
          <w:b/>
        </w:rPr>
        <w:t xml:space="preserve"> </w:t>
      </w:r>
    </w:p>
    <w:p w:rsidR="00FC6C73" w:rsidRDefault="003917CA">
      <w:pPr>
        <w:pStyle w:val="normal0"/>
        <w:spacing w:line="453" w:lineRule="auto"/>
        <w:ind w:left="20" w:right="4500"/>
      </w:pPr>
      <w:r>
        <w:rPr>
          <w:b/>
        </w:rPr>
        <w:t>COURSE DESCRIPTION</w:t>
      </w:r>
    </w:p>
    <w:p w:rsidR="00FC6C73" w:rsidRDefault="003917CA">
      <w:pPr>
        <w:pStyle w:val="normal0"/>
        <w:spacing w:line="453" w:lineRule="auto"/>
        <w:ind w:right="4500"/>
      </w:pPr>
      <w:r>
        <w:rPr>
          <w:b/>
        </w:rPr>
        <w:t>Curriculum Overview:</w:t>
      </w:r>
    </w:p>
    <w:p w:rsidR="00FC6C73" w:rsidRDefault="003917CA">
      <w:pPr>
        <w:pStyle w:val="normal0"/>
        <w:ind w:right="60"/>
      </w:pPr>
      <w:r>
        <w:t>The primary focus of the Core French program is communication. The three strands of curriculum outcomes are:</w:t>
      </w:r>
    </w:p>
    <w:p w:rsidR="00FC6C73" w:rsidRDefault="003917CA">
      <w:pPr>
        <w:pStyle w:val="normal0"/>
        <w:ind w:left="1520" w:right="60" w:hanging="700"/>
      </w:pPr>
      <w:r>
        <w:t>1)</w:t>
      </w:r>
      <w:r>
        <w:rPr>
          <w:sz w:val="14"/>
          <w:szCs w:val="14"/>
        </w:rPr>
        <w:t xml:space="preserve">             </w:t>
      </w:r>
      <w:r>
        <w:t>Communication</w:t>
      </w:r>
    </w:p>
    <w:p w:rsidR="00FC6C73" w:rsidRDefault="003917CA">
      <w:pPr>
        <w:pStyle w:val="normal0"/>
        <w:ind w:left="1520" w:right="60" w:hanging="700"/>
      </w:pPr>
      <w:r>
        <w:t>2)</w:t>
      </w:r>
      <w:r>
        <w:rPr>
          <w:sz w:val="14"/>
          <w:szCs w:val="14"/>
        </w:rPr>
        <w:t xml:space="preserve">             </w:t>
      </w:r>
      <w:r>
        <w:t>Culture</w:t>
      </w:r>
    </w:p>
    <w:p w:rsidR="00FC6C73" w:rsidRDefault="003917CA">
      <w:pPr>
        <w:pStyle w:val="normal0"/>
        <w:ind w:left="1520" w:right="60" w:hanging="700"/>
      </w:pPr>
      <w:r>
        <w:t>3)</w:t>
      </w:r>
      <w:r>
        <w:rPr>
          <w:sz w:val="14"/>
          <w:szCs w:val="14"/>
        </w:rPr>
        <w:t xml:space="preserve">             </w:t>
      </w:r>
      <w:r>
        <w:t>General Language Education</w:t>
      </w:r>
    </w:p>
    <w:p w:rsidR="00FC6C73" w:rsidRDefault="003917CA">
      <w:pPr>
        <w:pStyle w:val="normal0"/>
        <w:spacing w:line="256" w:lineRule="auto"/>
      </w:pPr>
      <w:r>
        <w:t xml:space="preserve">  </w:t>
      </w:r>
    </w:p>
    <w:p w:rsidR="00FC6C73" w:rsidRDefault="003917CA">
      <w:pPr>
        <w:pStyle w:val="normal0"/>
        <w:ind w:right="60"/>
      </w:pPr>
      <w:r>
        <w:t xml:space="preserve">The program provides the setting for authentic communication tasks, which centre on day-to-day experience in French class. The program also incorporates events affecting school life. The onus is on the teacher to </w:t>
      </w:r>
      <w:r>
        <w:t>utilize the French language in all aspects of organizing and teaching, thereby conveying a strong message to students about the real reasons for learning the language.</w:t>
      </w:r>
    </w:p>
    <w:p w:rsidR="00FC6C73" w:rsidRDefault="003917CA">
      <w:pPr>
        <w:pStyle w:val="normal0"/>
        <w:spacing w:line="256" w:lineRule="auto"/>
      </w:pPr>
      <w:r>
        <w:t xml:space="preserve"> </w:t>
      </w:r>
    </w:p>
    <w:p w:rsidR="00FC6C73" w:rsidRDefault="003917CA">
      <w:pPr>
        <w:pStyle w:val="normal0"/>
        <w:ind w:right="60"/>
      </w:pPr>
      <w:r>
        <w:t>At the intermediate level, the Core French program builds on the sequential developmen</w:t>
      </w:r>
      <w:r>
        <w:t>t of the French language, which was begun in the elementary grades. The themes are broad in nature, however, and reflect interests and experiences common among adolescents, including:</w:t>
      </w:r>
    </w:p>
    <w:p w:rsidR="00FC6C73" w:rsidRDefault="003917CA">
      <w:pPr>
        <w:pStyle w:val="normal0"/>
        <w:spacing w:line="256" w:lineRule="auto"/>
        <w:ind w:left="84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The Family and Home</w:t>
      </w:r>
    </w:p>
    <w:p w:rsidR="00FC6C73" w:rsidRDefault="003917CA">
      <w:pPr>
        <w:pStyle w:val="normal0"/>
        <w:spacing w:line="256" w:lineRule="auto"/>
        <w:ind w:left="84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School</w:t>
      </w:r>
    </w:p>
    <w:p w:rsidR="00FC6C73" w:rsidRDefault="003917CA">
      <w:pPr>
        <w:pStyle w:val="normal0"/>
        <w:spacing w:line="256" w:lineRule="auto"/>
        <w:ind w:left="84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Leisure</w:t>
      </w:r>
    </w:p>
    <w:p w:rsidR="00FC6C73" w:rsidRDefault="003917CA">
      <w:pPr>
        <w:pStyle w:val="normal0"/>
        <w:ind w:left="840" w:right="60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Holidays and Travel</w:t>
      </w:r>
    </w:p>
    <w:p w:rsidR="00FC6C73" w:rsidRDefault="003917CA">
      <w:pPr>
        <w:pStyle w:val="normal0"/>
        <w:spacing w:line="256" w:lineRule="auto"/>
      </w:pPr>
      <w:r>
        <w:t xml:space="preserve"> </w:t>
      </w:r>
    </w:p>
    <w:p w:rsidR="00FC6C73" w:rsidRDefault="003917CA">
      <w:pPr>
        <w:pStyle w:val="normal0"/>
        <w:ind w:right="60"/>
      </w:pPr>
      <w:r>
        <w:rPr>
          <w:b/>
        </w:rPr>
        <w:t>Authorized Learning Resources:</w:t>
      </w:r>
    </w:p>
    <w:p w:rsidR="00FC6C73" w:rsidRDefault="003917CA">
      <w:pPr>
        <w:pStyle w:val="normal0"/>
        <w:spacing w:after="220" w:line="256" w:lineRule="auto"/>
        <w:ind w:left="82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Communi-Quête 1-3 </w:t>
      </w:r>
    </w:p>
    <w:p w:rsidR="00FC6C73" w:rsidRDefault="003917CA">
      <w:pPr>
        <w:pStyle w:val="normal0"/>
        <w:spacing w:after="220" w:line="256" w:lineRule="auto"/>
        <w:ind w:left="82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Aquila Readers </w:t>
      </w: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t>Resource Link:</w:t>
      </w:r>
    </w:p>
    <w:p w:rsidR="00FC6C73" w:rsidRDefault="003917CA">
      <w:pPr>
        <w:pStyle w:val="normal0"/>
        <w:spacing w:after="200"/>
        <w:ind w:left="120"/>
      </w:pPr>
      <w:r>
        <w:rPr>
          <w:color w:val="4F81BC"/>
        </w:rPr>
        <w:t>http://www.ed.gov.nl.ca/edu/k12/curriculum/guides/corefrench/intermediate/cover_inter mediate_core_french.pdf</w:t>
      </w: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t xml:space="preserve"> </w:t>
      </w: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t xml:space="preserve"> </w:t>
      </w: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t xml:space="preserve"> </w:t>
      </w:r>
    </w:p>
    <w:p w:rsidR="00FC6C73" w:rsidRDefault="00FC6C73">
      <w:pPr>
        <w:pStyle w:val="normal0"/>
        <w:spacing w:line="256" w:lineRule="auto"/>
        <w:ind w:left="120"/>
      </w:pPr>
    </w:p>
    <w:p w:rsidR="00FC6C73" w:rsidRDefault="00FC6C73">
      <w:pPr>
        <w:pStyle w:val="normal0"/>
        <w:spacing w:line="256" w:lineRule="auto"/>
        <w:ind w:left="120"/>
      </w:pP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t>Assessment and Eval</w:t>
      </w:r>
      <w:r>
        <w:rPr>
          <w:b/>
        </w:rPr>
        <w:t>uation</w:t>
      </w: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lastRenderedPageBreak/>
        <w:t xml:space="preserve"> </w:t>
      </w:r>
    </w:p>
    <w:p w:rsidR="00FC6C73" w:rsidRDefault="003917CA">
      <w:pPr>
        <w:pStyle w:val="normal0"/>
        <w:ind w:right="60"/>
      </w:pPr>
      <w:r>
        <w:t xml:space="preserve">This is accomplished through </w:t>
      </w:r>
      <w:r>
        <w:rPr>
          <w:b/>
          <w:u w:val="single"/>
        </w:rPr>
        <w:t xml:space="preserve">Oral Comprehension and Production at a value of 60% </w:t>
      </w:r>
      <w:r>
        <w:t xml:space="preserve">and </w:t>
      </w:r>
      <w:r>
        <w:rPr>
          <w:b/>
          <w:u w:val="single"/>
        </w:rPr>
        <w:t>Written Comprehension and Production at a value of 40%.</w:t>
      </w:r>
      <w:r>
        <w:t xml:space="preserve"> Following is the breakdown of the assessment and evaluation plan for a full academic year:</w:t>
      </w:r>
    </w:p>
    <w:p w:rsidR="00FC6C73" w:rsidRDefault="003917CA">
      <w:pPr>
        <w:pStyle w:val="normal0"/>
        <w:ind w:right="60"/>
      </w:pPr>
      <w:r>
        <w:t xml:space="preserve"> </w:t>
      </w:r>
    </w:p>
    <w:tbl>
      <w:tblPr>
        <w:tblStyle w:val="a"/>
        <w:tblW w:w="8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715"/>
        <w:gridCol w:w="2865"/>
        <w:gridCol w:w="2805"/>
      </w:tblGrid>
      <w:tr w:rsidR="00FC6C73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>Specific Curriculum Outcomes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>Comprehension</w:t>
            </w: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>Production</w:t>
            </w:r>
          </w:p>
        </w:tc>
      </w:tr>
      <w:tr w:rsidR="00FC6C73">
        <w:trPr>
          <w:trHeight w:val="1240"/>
        </w:trPr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t>Communication</w:t>
            </w:r>
          </w:p>
          <w:p w:rsidR="00FC6C73" w:rsidRDefault="00FC6C73">
            <w:pPr>
              <w:pStyle w:val="normal0"/>
              <w:ind w:left="140" w:right="60"/>
              <w:jc w:val="center"/>
            </w:pP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13 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t>Oral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30% 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t>Oral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>30%</w:t>
            </w:r>
          </w:p>
        </w:tc>
      </w:tr>
      <w:tr w:rsidR="00FC6C73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t>Culture</w:t>
            </w:r>
          </w:p>
          <w:p w:rsidR="00FC6C73" w:rsidRDefault="00FC6C73">
            <w:pPr>
              <w:pStyle w:val="normal0"/>
              <w:ind w:left="140" w:right="60"/>
              <w:jc w:val="center"/>
            </w:pP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 9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t>Written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>20%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t>Written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>20%</w:t>
            </w:r>
          </w:p>
        </w:tc>
      </w:tr>
      <w:tr w:rsidR="00FC6C73">
        <w:tc>
          <w:tcPr>
            <w:tcW w:w="2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t>General Language Education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12 </w:t>
            </w: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>Total: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>50%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C73" w:rsidRDefault="003917CA">
            <w:pPr>
              <w:pStyle w:val="normal0"/>
              <w:ind w:left="140" w:right="60"/>
              <w:jc w:val="center"/>
            </w:pPr>
            <w:r>
              <w:rPr>
                <w:b/>
              </w:rPr>
              <w:t>Total: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 xml:space="preserve"> </w:t>
            </w:r>
          </w:p>
          <w:p w:rsidR="00FC6C73" w:rsidRDefault="003917CA">
            <w:pPr>
              <w:pStyle w:val="normal0"/>
              <w:ind w:left="140" w:right="60"/>
              <w:jc w:val="center"/>
            </w:pPr>
            <w:r>
              <w:t>50%</w:t>
            </w:r>
          </w:p>
        </w:tc>
      </w:tr>
    </w:tbl>
    <w:p w:rsidR="00FC6C73" w:rsidRDefault="003917CA">
      <w:pPr>
        <w:pStyle w:val="normal0"/>
        <w:ind w:right="60"/>
      </w:pPr>
      <w:r>
        <w:t xml:space="preserve"> </w:t>
      </w:r>
    </w:p>
    <w:p w:rsidR="00FC6C73" w:rsidRDefault="003917CA">
      <w:pPr>
        <w:pStyle w:val="normal0"/>
        <w:spacing w:line="256" w:lineRule="auto"/>
      </w:pPr>
      <w:r>
        <w:rPr>
          <w:b/>
        </w:rPr>
        <w:t>Note:</w:t>
      </w:r>
    </w:p>
    <w:p w:rsidR="00FC6C73" w:rsidRDefault="003917CA">
      <w:pPr>
        <w:pStyle w:val="normal0"/>
        <w:spacing w:line="256" w:lineRule="auto"/>
        <w:ind w:left="120"/>
      </w:pPr>
      <w:r>
        <w:t xml:space="preserve"> </w:t>
      </w:r>
    </w:p>
    <w:p w:rsidR="00FC6C73" w:rsidRDefault="003917CA">
      <w:pPr>
        <w:pStyle w:val="normal0"/>
        <w:spacing w:after="220"/>
        <w:ind w:left="840" w:right="60" w:hanging="360"/>
      </w:pPr>
      <w:r>
        <w:rPr>
          <w:i/>
        </w:rPr>
        <w:t>1.</w:t>
      </w:r>
      <w:r>
        <w:rPr>
          <w:sz w:val="14"/>
          <w:szCs w:val="14"/>
        </w:rPr>
        <w:tab/>
      </w:r>
      <w:r>
        <w:rPr>
          <w:i/>
        </w:rPr>
        <w:t>Teachers are expected to use a variety of assessments,</w:t>
      </w:r>
      <w:r>
        <w:t xml:space="preserve"> including regular observation by the teacher, self-evaluation, oral evaluations, interviews, portfolios, rubrics, quizzes, and checklists, etc. Teachers must also evaluate the development of student un</w:t>
      </w:r>
      <w:r>
        <w:t>derstanding of cultural influences.</w:t>
      </w:r>
    </w:p>
    <w:p w:rsidR="00FC6C73" w:rsidRDefault="003917CA">
      <w:pPr>
        <w:pStyle w:val="normal0"/>
        <w:spacing w:after="200"/>
        <w:ind w:left="840" w:right="60" w:hanging="360"/>
      </w:pPr>
      <w:r>
        <w:rPr>
          <w:i/>
        </w:rPr>
        <w:t>2.</w:t>
      </w:r>
      <w:r>
        <w:rPr>
          <w:sz w:val="14"/>
          <w:szCs w:val="14"/>
        </w:rPr>
        <w:tab/>
      </w:r>
      <w:r>
        <w:rPr>
          <w:i/>
        </w:rPr>
        <w:t>Homework and student behavior(except where specified in Provincial documents) shall not be given a value for assessment</w:t>
      </w:r>
    </w:p>
    <w:p w:rsidR="00FC6C73" w:rsidRDefault="003917CA">
      <w:pPr>
        <w:pStyle w:val="normal0"/>
        <w:spacing w:after="220"/>
        <w:ind w:left="840" w:right="60" w:hanging="360"/>
      </w:pPr>
      <w:r>
        <w:rPr>
          <w:i/>
        </w:rPr>
        <w:t>3.</w:t>
      </w:r>
      <w:r>
        <w:rPr>
          <w:sz w:val="14"/>
          <w:szCs w:val="14"/>
        </w:rPr>
        <w:tab/>
      </w:r>
      <w:r>
        <w:t>All evidence of learning shall be considered when determining a student’s final grade. Averagi</w:t>
      </w:r>
      <w:r>
        <w:t>ng shall not be used as a sole indicator of a student’s level of attainment of the course outcomes.</w:t>
      </w:r>
    </w:p>
    <w:p w:rsidR="00FC6C73" w:rsidRDefault="003917CA">
      <w:pPr>
        <w:pStyle w:val="normal0"/>
        <w:spacing w:after="220" w:line="256" w:lineRule="auto"/>
        <w:ind w:left="840"/>
      </w:pPr>
      <w:r>
        <w:rPr>
          <w:i/>
        </w:rPr>
        <w:t xml:space="preserve"> </w:t>
      </w: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t xml:space="preserve"> </w:t>
      </w:r>
    </w:p>
    <w:p w:rsidR="00FC6C73" w:rsidRDefault="003917CA">
      <w:pPr>
        <w:pStyle w:val="normal0"/>
        <w:spacing w:line="256" w:lineRule="auto"/>
        <w:ind w:left="120"/>
      </w:pPr>
      <w:r>
        <w:rPr>
          <w:b/>
        </w:rPr>
        <w:t xml:space="preserve"> </w:t>
      </w:r>
    </w:p>
    <w:p w:rsidR="00FC6C73" w:rsidRDefault="003917CA">
      <w:pPr>
        <w:pStyle w:val="normal0"/>
        <w:ind w:left="120"/>
      </w:pPr>
      <w:r>
        <w:rPr>
          <w:i/>
          <w:color w:val="4F81BC"/>
        </w:rPr>
        <w:t xml:space="preserve"> </w:t>
      </w:r>
    </w:p>
    <w:p w:rsidR="00FC6C73" w:rsidRDefault="00FC6C73">
      <w:pPr>
        <w:pStyle w:val="normal0"/>
      </w:pPr>
    </w:p>
    <w:sectPr w:rsidR="00FC6C73" w:rsidSect="00FC6C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/>
  <w:rsids>
    <w:rsidRoot w:val="00FC6C73"/>
    <w:rsid w:val="003917CA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6C7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C6C7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C6C7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C6C7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C6C7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C6C7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6C73"/>
  </w:style>
  <w:style w:type="paragraph" w:styleId="Title">
    <w:name w:val="Title"/>
    <w:basedOn w:val="normal0"/>
    <w:next w:val="normal0"/>
    <w:rsid w:val="00FC6C7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C6C7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C6C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ESDNL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Murrin Margaret</dc:creator>
  <cp:lastModifiedBy>mmurrin</cp:lastModifiedBy>
  <cp:revision>2</cp:revision>
  <dcterms:created xsi:type="dcterms:W3CDTF">2016-09-21T12:18:00Z</dcterms:created>
  <dcterms:modified xsi:type="dcterms:W3CDTF">2016-09-21T12:18:00Z</dcterms:modified>
</cp:coreProperties>
</file>